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5FB7" w14:textId="77777777" w:rsidR="00FB73C2" w:rsidRDefault="00FB73C2" w:rsidP="00FB73C2">
      <w:pPr>
        <w:pStyle w:val="Ttulo1"/>
        <w:numPr>
          <w:ilvl w:val="0"/>
          <w:numId w:val="1"/>
        </w:numPr>
        <w:spacing w:before="0"/>
        <w:jc w:val="both"/>
        <w:rPr>
          <w:rFonts w:ascii="Times New Roman" w:hAnsi="Times New Roman" w:cs="Times New Roman"/>
          <w:color w:val="auto"/>
          <w:sz w:val="24"/>
          <w:szCs w:val="24"/>
        </w:rPr>
      </w:pPr>
      <w:bookmarkStart w:id="0" w:name="_Toc43574495"/>
      <w:r w:rsidRPr="00A006BB">
        <w:rPr>
          <w:rFonts w:ascii="Times New Roman" w:hAnsi="Times New Roman" w:cs="Times New Roman"/>
          <w:color w:val="auto"/>
          <w:sz w:val="24"/>
          <w:szCs w:val="24"/>
        </w:rPr>
        <w:t xml:space="preserve">Corpus and </w:t>
      </w:r>
      <w:proofErr w:type="spellStart"/>
      <w:r w:rsidRPr="00A006BB">
        <w:rPr>
          <w:rFonts w:ascii="Times New Roman" w:hAnsi="Times New Roman" w:cs="Times New Roman"/>
          <w:color w:val="auto"/>
          <w:sz w:val="24"/>
          <w:szCs w:val="24"/>
        </w:rPr>
        <w:t>Metaphor</w:t>
      </w:r>
      <w:proofErr w:type="spellEnd"/>
      <w:r w:rsidRPr="00A006BB">
        <w:rPr>
          <w:rFonts w:ascii="Times New Roman" w:hAnsi="Times New Roman" w:cs="Times New Roman"/>
          <w:color w:val="auto"/>
          <w:sz w:val="24"/>
          <w:szCs w:val="24"/>
        </w:rPr>
        <w:t xml:space="preserve"> </w:t>
      </w:r>
      <w:proofErr w:type="spellStart"/>
      <w:r w:rsidRPr="00A006BB">
        <w:rPr>
          <w:rFonts w:ascii="Times New Roman" w:hAnsi="Times New Roman" w:cs="Times New Roman"/>
          <w:color w:val="auto"/>
          <w:sz w:val="24"/>
          <w:szCs w:val="24"/>
        </w:rPr>
        <w:t>Identification</w:t>
      </w:r>
      <w:bookmarkEnd w:id="0"/>
      <w:proofErr w:type="spellEnd"/>
    </w:p>
    <w:p w14:paraId="14B6F18F" w14:textId="77777777" w:rsidR="00FB73C2" w:rsidRPr="007A48C9" w:rsidRDefault="00FB73C2" w:rsidP="00FB73C2"/>
    <w:p w14:paraId="495DBB03" w14:textId="77777777" w:rsidR="00FB73C2" w:rsidRDefault="00FB73C2" w:rsidP="00FB73C2">
      <w:pPr>
        <w:pStyle w:val="Ttulo2"/>
        <w:numPr>
          <w:ilvl w:val="1"/>
          <w:numId w:val="1"/>
        </w:numPr>
        <w:spacing w:before="0"/>
        <w:jc w:val="both"/>
        <w:rPr>
          <w:rFonts w:ascii="Times New Roman" w:hAnsi="Times New Roman" w:cs="Times New Roman"/>
          <w:color w:val="auto"/>
          <w:sz w:val="24"/>
          <w:szCs w:val="24"/>
        </w:rPr>
      </w:pPr>
      <w:bookmarkStart w:id="1" w:name="_Toc43574496"/>
      <w:r w:rsidRPr="00A006BB">
        <w:rPr>
          <w:rFonts w:ascii="Times New Roman" w:hAnsi="Times New Roman" w:cs="Times New Roman"/>
          <w:color w:val="auto"/>
          <w:sz w:val="24"/>
          <w:szCs w:val="24"/>
        </w:rPr>
        <w:t xml:space="preserve">Corpus </w:t>
      </w:r>
      <w:proofErr w:type="spellStart"/>
      <w:r w:rsidRPr="00A006BB">
        <w:rPr>
          <w:rFonts w:ascii="Times New Roman" w:hAnsi="Times New Roman" w:cs="Times New Roman"/>
          <w:color w:val="auto"/>
          <w:sz w:val="24"/>
          <w:szCs w:val="24"/>
        </w:rPr>
        <w:t>Selection</w:t>
      </w:r>
      <w:bookmarkEnd w:id="1"/>
      <w:proofErr w:type="spellEnd"/>
      <w:r w:rsidRPr="00A006BB">
        <w:rPr>
          <w:rFonts w:ascii="Times New Roman" w:hAnsi="Times New Roman" w:cs="Times New Roman"/>
          <w:color w:val="auto"/>
          <w:sz w:val="24"/>
          <w:szCs w:val="24"/>
        </w:rPr>
        <w:t xml:space="preserve"> </w:t>
      </w:r>
    </w:p>
    <w:p w14:paraId="2BDC478B" w14:textId="77777777" w:rsidR="00FB73C2" w:rsidRPr="007A48C9" w:rsidRDefault="00FB73C2" w:rsidP="00FB73C2"/>
    <w:p w14:paraId="3CB17716" w14:textId="77777777" w:rsidR="00FB73C2" w:rsidRPr="00391076" w:rsidRDefault="00FB73C2" w:rsidP="00FB73C2">
      <w:pPr>
        <w:jc w:val="both"/>
        <w:rPr>
          <w:lang w:val="en-US"/>
        </w:rPr>
      </w:pPr>
      <w:r w:rsidRPr="00391076">
        <w:rPr>
          <w:lang w:val="en-US"/>
        </w:rPr>
        <w:t xml:space="preserve">In accordance with the research objectives stated in </w:t>
      </w:r>
      <w:r>
        <w:rPr>
          <w:lang w:val="en-US"/>
        </w:rPr>
        <w:t>s</w:t>
      </w:r>
      <w:r w:rsidRPr="00391076">
        <w:rPr>
          <w:lang w:val="en-US"/>
        </w:rPr>
        <w:t>ection 1</w:t>
      </w:r>
      <w:r w:rsidRPr="00391076">
        <w:rPr>
          <w:color w:val="FF0000"/>
          <w:lang w:val="en-US"/>
        </w:rPr>
        <w:t xml:space="preserve"> </w:t>
      </w:r>
      <w:r w:rsidRPr="00391076">
        <w:rPr>
          <w:lang w:val="en-US"/>
        </w:rPr>
        <w:t xml:space="preserve">and the needs for research explained in </w:t>
      </w:r>
      <w:r>
        <w:rPr>
          <w:lang w:val="en-US"/>
        </w:rPr>
        <w:t>s</w:t>
      </w:r>
      <w:r w:rsidRPr="00391076">
        <w:rPr>
          <w:lang w:val="en-US"/>
        </w:rPr>
        <w:t xml:space="preserve">ection 3, the present study offers a corpus-based analysis including both a quantitative and qualitative exploration of those primary metaphors which are found in tangible and intangible printed advertising. To guarantee the diversity of our corpus of study, we have compiled 300 printed advertisements, 150 of which belong to tangible products and 150 to intangible products/services. It is important to underline that we have tried to choose representative samples so that primary metaphor identification was as easy and clear as possible. </w:t>
      </w:r>
    </w:p>
    <w:p w14:paraId="7F326DCA" w14:textId="77777777" w:rsidR="00FB73C2" w:rsidRPr="00391076" w:rsidRDefault="00FB73C2" w:rsidP="00FB73C2">
      <w:pPr>
        <w:ind w:firstLine="567"/>
        <w:jc w:val="both"/>
        <w:rPr>
          <w:lang w:val="en-US"/>
        </w:rPr>
      </w:pPr>
      <w:r w:rsidRPr="00391076">
        <w:rPr>
          <w:lang w:val="en-US"/>
        </w:rPr>
        <w:t xml:space="preserve">Taking these criteria into consideration, our corpus encompasses the following list of brands subdivided into their correspondent categories: </w:t>
      </w:r>
    </w:p>
    <w:p w14:paraId="4CAAE6AD" w14:textId="77777777" w:rsidR="00FB73C2" w:rsidRPr="00391076" w:rsidRDefault="00FB73C2" w:rsidP="00FB73C2">
      <w:pPr>
        <w:ind w:firstLine="567"/>
        <w:jc w:val="both"/>
        <w:rPr>
          <w:lang w:val="en-US"/>
        </w:rPr>
      </w:pPr>
    </w:p>
    <w:tbl>
      <w:tblPr>
        <w:tblStyle w:val="Sombreadoclaro"/>
        <w:tblpPr w:leftFromText="180" w:rightFromText="180" w:vertAnchor="text" w:horzAnchor="margin" w:tblpY="150"/>
        <w:tblW w:w="4884" w:type="pct"/>
        <w:tblLayout w:type="fixed"/>
        <w:tblLook w:val="0660" w:firstRow="1" w:lastRow="1" w:firstColumn="0" w:lastColumn="0" w:noHBand="1" w:noVBand="1"/>
      </w:tblPr>
      <w:tblGrid>
        <w:gridCol w:w="2617"/>
        <w:gridCol w:w="5690"/>
      </w:tblGrid>
      <w:tr w:rsidR="00FB73C2" w:rsidRPr="00B46FA7" w14:paraId="23830452" w14:textId="77777777" w:rsidTr="00712C68">
        <w:trPr>
          <w:cnfStyle w:val="100000000000" w:firstRow="1" w:lastRow="0" w:firstColumn="0" w:lastColumn="0" w:oddVBand="0" w:evenVBand="0" w:oddHBand="0" w:evenHBand="0" w:firstRowFirstColumn="0" w:firstRowLastColumn="0" w:lastRowFirstColumn="0" w:lastRowLastColumn="0"/>
          <w:trHeight w:val="178"/>
        </w:trPr>
        <w:tc>
          <w:tcPr>
            <w:tcW w:w="1575" w:type="pct"/>
            <w:noWrap/>
          </w:tcPr>
          <w:p w14:paraId="53606445" w14:textId="77777777" w:rsidR="00FB73C2" w:rsidRPr="00B46FA7" w:rsidRDefault="00FB73C2" w:rsidP="00712C68">
            <w:pPr>
              <w:jc w:val="both"/>
              <w:rPr>
                <w:sz w:val="20"/>
                <w:szCs w:val="20"/>
              </w:rPr>
            </w:pPr>
            <w:r w:rsidRPr="00B46FA7">
              <w:rPr>
                <w:sz w:val="20"/>
                <w:szCs w:val="20"/>
              </w:rPr>
              <w:t xml:space="preserve">Category </w:t>
            </w:r>
          </w:p>
        </w:tc>
        <w:tc>
          <w:tcPr>
            <w:tcW w:w="3425" w:type="pct"/>
          </w:tcPr>
          <w:p w14:paraId="33F39AB6" w14:textId="77777777" w:rsidR="00FB73C2" w:rsidRPr="00B46FA7" w:rsidRDefault="00FB73C2" w:rsidP="00712C68">
            <w:pPr>
              <w:jc w:val="both"/>
              <w:rPr>
                <w:sz w:val="20"/>
                <w:szCs w:val="20"/>
              </w:rPr>
            </w:pPr>
            <w:r w:rsidRPr="00B46FA7">
              <w:rPr>
                <w:sz w:val="20"/>
                <w:szCs w:val="20"/>
              </w:rPr>
              <w:t xml:space="preserve">Brands </w:t>
            </w:r>
          </w:p>
        </w:tc>
      </w:tr>
      <w:tr w:rsidR="00FB73C2" w:rsidRPr="00A006BB" w14:paraId="5E71F88E" w14:textId="77777777" w:rsidTr="00712C68">
        <w:trPr>
          <w:trHeight w:val="178"/>
        </w:trPr>
        <w:tc>
          <w:tcPr>
            <w:tcW w:w="1575" w:type="pct"/>
            <w:noWrap/>
          </w:tcPr>
          <w:p w14:paraId="74498D36" w14:textId="77777777" w:rsidR="00FB73C2" w:rsidRPr="00A006BB" w:rsidRDefault="00FB73C2" w:rsidP="00712C68">
            <w:pPr>
              <w:jc w:val="both"/>
            </w:pPr>
          </w:p>
        </w:tc>
        <w:tc>
          <w:tcPr>
            <w:tcW w:w="3425" w:type="pct"/>
          </w:tcPr>
          <w:p w14:paraId="44BB3F23" w14:textId="77777777" w:rsidR="00FB73C2" w:rsidRPr="00A006BB" w:rsidRDefault="00FB73C2" w:rsidP="00712C68">
            <w:pPr>
              <w:jc w:val="both"/>
            </w:pPr>
          </w:p>
        </w:tc>
      </w:tr>
      <w:tr w:rsidR="00FB73C2" w:rsidRPr="00B46FA7" w14:paraId="350B8D44" w14:textId="77777777" w:rsidTr="00712C68">
        <w:trPr>
          <w:trHeight w:val="458"/>
        </w:trPr>
        <w:tc>
          <w:tcPr>
            <w:tcW w:w="1575" w:type="pct"/>
            <w:noWrap/>
          </w:tcPr>
          <w:p w14:paraId="55594D6E" w14:textId="77777777" w:rsidR="00FB73C2" w:rsidRPr="0090204E" w:rsidRDefault="00FB73C2" w:rsidP="00712C68">
            <w:pPr>
              <w:adjustRightInd w:val="0"/>
              <w:snapToGrid w:val="0"/>
              <w:jc w:val="both"/>
              <w:rPr>
                <w:sz w:val="20"/>
                <w:szCs w:val="20"/>
              </w:rPr>
            </w:pPr>
            <w:r w:rsidRPr="0090204E">
              <w:rPr>
                <w:sz w:val="20"/>
                <w:szCs w:val="20"/>
              </w:rPr>
              <w:t xml:space="preserve">Banking entities </w:t>
            </w:r>
          </w:p>
        </w:tc>
        <w:tc>
          <w:tcPr>
            <w:tcW w:w="3425" w:type="pct"/>
          </w:tcPr>
          <w:p w14:paraId="5DFC59BD" w14:textId="77777777" w:rsidR="00FB73C2" w:rsidRPr="00B87540" w:rsidRDefault="00FB73C2" w:rsidP="00712C68">
            <w:pPr>
              <w:pStyle w:val="DecimalAligned"/>
              <w:adjustRightInd w:val="0"/>
              <w:snapToGrid w:val="0"/>
              <w:spacing w:after="0"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 xml:space="preserve">Canara, CIT, Citi, Lloyds, HSB, Beneficial, ANB, ATM, Indian Bank </w:t>
            </w:r>
          </w:p>
        </w:tc>
      </w:tr>
      <w:tr w:rsidR="00FB73C2" w:rsidRPr="006369CE" w14:paraId="1EDFF2F0" w14:textId="77777777" w:rsidTr="00712C68">
        <w:trPr>
          <w:trHeight w:val="419"/>
        </w:trPr>
        <w:tc>
          <w:tcPr>
            <w:tcW w:w="1575" w:type="pct"/>
            <w:noWrap/>
          </w:tcPr>
          <w:p w14:paraId="173728DF" w14:textId="77777777" w:rsidR="00FB73C2" w:rsidRPr="0090204E" w:rsidRDefault="00FB73C2" w:rsidP="00712C68">
            <w:pPr>
              <w:snapToGrid w:val="0"/>
              <w:jc w:val="both"/>
              <w:rPr>
                <w:sz w:val="20"/>
                <w:szCs w:val="20"/>
              </w:rPr>
            </w:pPr>
            <w:r w:rsidRPr="0090204E">
              <w:rPr>
                <w:sz w:val="20"/>
                <w:szCs w:val="20"/>
              </w:rPr>
              <w:t>Insurance companies</w:t>
            </w:r>
          </w:p>
        </w:tc>
        <w:tc>
          <w:tcPr>
            <w:tcW w:w="3425" w:type="pct"/>
          </w:tcPr>
          <w:p w14:paraId="3A27AB35" w14:textId="77777777" w:rsidR="00FB73C2" w:rsidRPr="00B87540" w:rsidRDefault="00FB73C2" w:rsidP="00712C68">
            <w:pPr>
              <w:pStyle w:val="DecimalAligned"/>
              <w:snapToGrid w:val="0"/>
              <w:spacing w:after="0"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 xml:space="preserve">ABC, </w:t>
            </w:r>
            <w:proofErr w:type="spellStart"/>
            <w:r w:rsidRPr="00B87540">
              <w:rPr>
                <w:rFonts w:ascii="Times New Roman" w:hAnsi="Times New Roman" w:cs="Times New Roman"/>
                <w:i/>
                <w:iCs/>
                <w:sz w:val="20"/>
                <w:szCs w:val="20"/>
              </w:rPr>
              <w:t>Leaplife</w:t>
            </w:r>
            <w:proofErr w:type="spellEnd"/>
            <w:r w:rsidRPr="00B87540">
              <w:rPr>
                <w:rFonts w:ascii="Times New Roman" w:hAnsi="Times New Roman" w:cs="Times New Roman"/>
                <w:i/>
                <w:iCs/>
                <w:sz w:val="20"/>
                <w:szCs w:val="20"/>
              </w:rPr>
              <w:t>, Anytown, Indiana Form Bureau, RACQ, Navigator &amp; General</w:t>
            </w:r>
          </w:p>
        </w:tc>
      </w:tr>
      <w:tr w:rsidR="00FB73C2" w:rsidRPr="00B9518F" w14:paraId="766485FE" w14:textId="77777777" w:rsidTr="00712C68">
        <w:trPr>
          <w:trHeight w:val="424"/>
        </w:trPr>
        <w:tc>
          <w:tcPr>
            <w:tcW w:w="1575" w:type="pct"/>
            <w:noWrap/>
          </w:tcPr>
          <w:p w14:paraId="10779D22" w14:textId="77777777" w:rsidR="00FB73C2" w:rsidRPr="0090204E" w:rsidRDefault="00FB73C2" w:rsidP="00712C68">
            <w:pPr>
              <w:jc w:val="both"/>
              <w:rPr>
                <w:sz w:val="20"/>
                <w:szCs w:val="20"/>
              </w:rPr>
            </w:pPr>
            <w:r w:rsidRPr="0090204E">
              <w:rPr>
                <w:sz w:val="20"/>
                <w:szCs w:val="20"/>
              </w:rPr>
              <w:t>Clean energy companies</w:t>
            </w:r>
          </w:p>
        </w:tc>
        <w:tc>
          <w:tcPr>
            <w:tcW w:w="3425" w:type="pct"/>
          </w:tcPr>
          <w:p w14:paraId="57D3E0D1" w14:textId="77777777" w:rsidR="00FB73C2" w:rsidRPr="00B87540" w:rsidRDefault="00FB73C2" w:rsidP="00712C68">
            <w:pPr>
              <w:pStyle w:val="DecimalAligned"/>
              <w:snapToGrid w:val="0"/>
              <w:spacing w:after="0" w:line="240" w:lineRule="auto"/>
              <w:jc w:val="both"/>
              <w:rPr>
                <w:rFonts w:ascii="Times New Roman" w:hAnsi="Times New Roman" w:cs="Times New Roman"/>
                <w:i/>
                <w:iCs/>
                <w:sz w:val="20"/>
                <w:szCs w:val="20"/>
                <w:lang w:val="es-ES"/>
              </w:rPr>
            </w:pPr>
            <w:proofErr w:type="spellStart"/>
            <w:r w:rsidRPr="00B87540">
              <w:rPr>
                <w:rFonts w:ascii="Times New Roman" w:hAnsi="Times New Roman" w:cs="Times New Roman"/>
                <w:i/>
                <w:iCs/>
                <w:sz w:val="20"/>
                <w:szCs w:val="20"/>
                <w:lang w:val="es-ES"/>
              </w:rPr>
              <w:t>Equinor</w:t>
            </w:r>
            <w:proofErr w:type="spellEnd"/>
            <w:r w:rsidRPr="00B87540">
              <w:rPr>
                <w:rFonts w:ascii="Times New Roman" w:hAnsi="Times New Roman" w:cs="Times New Roman"/>
                <w:i/>
                <w:iCs/>
                <w:sz w:val="20"/>
                <w:szCs w:val="20"/>
                <w:lang w:val="es-ES"/>
              </w:rPr>
              <w:t xml:space="preserve">, Tesla, Azure </w:t>
            </w:r>
            <w:proofErr w:type="spellStart"/>
            <w:r w:rsidRPr="00B87540">
              <w:rPr>
                <w:rFonts w:ascii="Times New Roman" w:hAnsi="Times New Roman" w:cs="Times New Roman"/>
                <w:i/>
                <w:iCs/>
                <w:sz w:val="20"/>
                <w:szCs w:val="20"/>
                <w:lang w:val="es-ES"/>
              </w:rPr>
              <w:t>Power</w:t>
            </w:r>
            <w:proofErr w:type="spellEnd"/>
            <w:r w:rsidRPr="00B87540">
              <w:rPr>
                <w:rFonts w:ascii="Times New Roman" w:hAnsi="Times New Roman" w:cs="Times New Roman"/>
                <w:i/>
                <w:iCs/>
                <w:sz w:val="20"/>
                <w:szCs w:val="20"/>
                <w:lang w:val="es-ES"/>
              </w:rPr>
              <w:t xml:space="preserve">, </w:t>
            </w:r>
            <w:proofErr w:type="spellStart"/>
            <w:r w:rsidRPr="00B87540">
              <w:rPr>
                <w:rFonts w:ascii="Times New Roman" w:hAnsi="Times New Roman" w:cs="Times New Roman"/>
                <w:i/>
                <w:iCs/>
                <w:sz w:val="20"/>
                <w:szCs w:val="20"/>
                <w:lang w:val="es-ES"/>
              </w:rPr>
              <w:t>Enviva</w:t>
            </w:r>
            <w:proofErr w:type="spellEnd"/>
          </w:p>
        </w:tc>
      </w:tr>
      <w:tr w:rsidR="00FB73C2" w:rsidRPr="006369CE" w14:paraId="17EFD6B0" w14:textId="77777777" w:rsidTr="00712C68">
        <w:trPr>
          <w:trHeight w:val="286"/>
        </w:trPr>
        <w:tc>
          <w:tcPr>
            <w:tcW w:w="1575" w:type="pct"/>
            <w:noWrap/>
          </w:tcPr>
          <w:p w14:paraId="097559D6" w14:textId="77777777" w:rsidR="00FB73C2" w:rsidRPr="0090204E" w:rsidRDefault="00FB73C2" w:rsidP="00712C68">
            <w:pPr>
              <w:jc w:val="both"/>
              <w:rPr>
                <w:sz w:val="20"/>
                <w:szCs w:val="20"/>
              </w:rPr>
            </w:pPr>
            <w:r w:rsidRPr="0090204E">
              <w:rPr>
                <w:sz w:val="20"/>
                <w:szCs w:val="20"/>
              </w:rPr>
              <w:t>Media &amp; Entertainment platforms</w:t>
            </w:r>
          </w:p>
        </w:tc>
        <w:tc>
          <w:tcPr>
            <w:tcW w:w="3425" w:type="pct"/>
          </w:tcPr>
          <w:p w14:paraId="76042441" w14:textId="77777777" w:rsidR="00FB73C2" w:rsidRPr="00B87540" w:rsidRDefault="00FB73C2" w:rsidP="00712C68">
            <w:pPr>
              <w:pStyle w:val="DecimalAligned"/>
              <w:spacing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Disney +, HBO, Netflix, Amazon Prime</w:t>
            </w:r>
          </w:p>
        </w:tc>
      </w:tr>
      <w:tr w:rsidR="00FB73C2" w:rsidRPr="006369CE" w14:paraId="3B6AF9DD" w14:textId="77777777" w:rsidTr="00712C68">
        <w:trPr>
          <w:trHeight w:val="178"/>
        </w:trPr>
        <w:tc>
          <w:tcPr>
            <w:tcW w:w="1575" w:type="pct"/>
            <w:noWrap/>
          </w:tcPr>
          <w:p w14:paraId="670BE830" w14:textId="77777777" w:rsidR="00FB73C2" w:rsidRPr="0090204E" w:rsidRDefault="00FB73C2" w:rsidP="00712C68">
            <w:pPr>
              <w:jc w:val="both"/>
              <w:rPr>
                <w:sz w:val="20"/>
                <w:szCs w:val="20"/>
              </w:rPr>
            </w:pPr>
            <w:r w:rsidRPr="0090204E">
              <w:rPr>
                <w:sz w:val="20"/>
                <w:szCs w:val="20"/>
              </w:rPr>
              <w:t>Communication companies</w:t>
            </w:r>
          </w:p>
        </w:tc>
        <w:tc>
          <w:tcPr>
            <w:tcW w:w="3425" w:type="pct"/>
          </w:tcPr>
          <w:p w14:paraId="4ED779DD" w14:textId="77777777" w:rsidR="00FB73C2" w:rsidRPr="00B87540" w:rsidRDefault="00FB73C2" w:rsidP="00712C68">
            <w:pPr>
              <w:pStyle w:val="DecimalAligned"/>
              <w:spacing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 xml:space="preserve">Movistar, O2, Talk </w:t>
            </w:r>
            <w:proofErr w:type="spellStart"/>
            <w:r w:rsidRPr="00B87540">
              <w:rPr>
                <w:rFonts w:ascii="Times New Roman" w:hAnsi="Times New Roman" w:cs="Times New Roman"/>
                <w:i/>
                <w:iCs/>
                <w:sz w:val="20"/>
                <w:szCs w:val="20"/>
              </w:rPr>
              <w:t>Talk</w:t>
            </w:r>
            <w:proofErr w:type="spellEnd"/>
            <w:r w:rsidRPr="00B87540">
              <w:rPr>
                <w:rFonts w:ascii="Times New Roman" w:hAnsi="Times New Roman" w:cs="Times New Roman"/>
                <w:i/>
                <w:iCs/>
                <w:sz w:val="20"/>
                <w:szCs w:val="20"/>
              </w:rPr>
              <w:t xml:space="preserve">, </w:t>
            </w:r>
            <w:proofErr w:type="spellStart"/>
            <w:r w:rsidRPr="00B87540">
              <w:rPr>
                <w:rFonts w:ascii="Times New Roman" w:hAnsi="Times New Roman" w:cs="Times New Roman"/>
                <w:i/>
                <w:iCs/>
                <w:sz w:val="20"/>
                <w:szCs w:val="20"/>
              </w:rPr>
              <w:t>Oigo</w:t>
            </w:r>
            <w:proofErr w:type="spellEnd"/>
            <w:r w:rsidRPr="00B87540">
              <w:rPr>
                <w:rFonts w:ascii="Times New Roman" w:hAnsi="Times New Roman" w:cs="Times New Roman"/>
                <w:i/>
                <w:iCs/>
                <w:sz w:val="20"/>
                <w:szCs w:val="20"/>
              </w:rPr>
              <w:t>, Orange</w:t>
            </w:r>
          </w:p>
        </w:tc>
      </w:tr>
      <w:tr w:rsidR="00FB73C2" w:rsidRPr="006369CE" w14:paraId="2A921FB2" w14:textId="77777777" w:rsidTr="00712C68">
        <w:trPr>
          <w:cnfStyle w:val="010000000000" w:firstRow="0" w:lastRow="1" w:firstColumn="0" w:lastColumn="0" w:oddVBand="0" w:evenVBand="0" w:oddHBand="0" w:evenHBand="0" w:firstRowFirstColumn="0" w:firstRowLastColumn="0" w:lastRowFirstColumn="0" w:lastRowLastColumn="0"/>
          <w:trHeight w:val="189"/>
        </w:trPr>
        <w:tc>
          <w:tcPr>
            <w:tcW w:w="1575" w:type="pct"/>
            <w:noWrap/>
          </w:tcPr>
          <w:p w14:paraId="12006051" w14:textId="77777777" w:rsidR="00FB73C2" w:rsidRPr="00A006BB" w:rsidRDefault="00FB73C2" w:rsidP="00712C68">
            <w:pPr>
              <w:jc w:val="both"/>
            </w:pPr>
          </w:p>
        </w:tc>
        <w:tc>
          <w:tcPr>
            <w:tcW w:w="3425" w:type="pct"/>
          </w:tcPr>
          <w:p w14:paraId="337BAC6A" w14:textId="77777777" w:rsidR="00FB73C2" w:rsidRPr="00A006BB" w:rsidRDefault="00FB73C2" w:rsidP="00712C68">
            <w:pPr>
              <w:pStyle w:val="DecimalAligned"/>
              <w:spacing w:line="240" w:lineRule="auto"/>
              <w:jc w:val="both"/>
            </w:pPr>
          </w:p>
        </w:tc>
      </w:tr>
    </w:tbl>
    <w:p w14:paraId="42D6CA8D" w14:textId="77777777" w:rsidR="00FB73C2" w:rsidRDefault="00FB73C2" w:rsidP="00FB73C2">
      <w:pPr>
        <w:jc w:val="center"/>
        <w:rPr>
          <w:iCs/>
          <w:caps/>
          <w:color w:val="000000" w:themeColor="text1"/>
          <w:sz w:val="20"/>
          <w:szCs w:val="20"/>
          <w:lang w:val="en-US"/>
        </w:rPr>
      </w:pPr>
    </w:p>
    <w:p w14:paraId="452569B9" w14:textId="77777777" w:rsidR="00FB73C2" w:rsidRPr="00391076" w:rsidRDefault="00FB73C2" w:rsidP="00FB73C2">
      <w:pPr>
        <w:jc w:val="center"/>
        <w:rPr>
          <w:iCs/>
          <w:caps/>
          <w:color w:val="000000" w:themeColor="text1"/>
          <w:sz w:val="20"/>
          <w:szCs w:val="20"/>
          <w:lang w:val="en-US"/>
        </w:rPr>
      </w:pPr>
      <w:r w:rsidRPr="00391076">
        <w:rPr>
          <w:iCs/>
          <w:caps/>
          <w:color w:val="000000" w:themeColor="text1"/>
          <w:sz w:val="20"/>
          <w:szCs w:val="20"/>
          <w:lang w:val="en-US"/>
        </w:rPr>
        <w:t>Table 3. Intangible products/services: Categories and brands</w:t>
      </w:r>
    </w:p>
    <w:p w14:paraId="4755CAA1" w14:textId="77777777" w:rsidR="00FB73C2" w:rsidRDefault="00FB73C2" w:rsidP="00FB73C2">
      <w:pPr>
        <w:jc w:val="center"/>
        <w:rPr>
          <w:iCs/>
          <w:caps/>
          <w:color w:val="000000" w:themeColor="text1"/>
          <w:sz w:val="20"/>
          <w:szCs w:val="20"/>
          <w:lang w:val="en-US"/>
        </w:rPr>
      </w:pPr>
    </w:p>
    <w:p w14:paraId="414B55F5" w14:textId="77777777" w:rsidR="00FB73C2" w:rsidRPr="00391076" w:rsidRDefault="00FB73C2" w:rsidP="00FB73C2">
      <w:pPr>
        <w:jc w:val="center"/>
        <w:rPr>
          <w:iCs/>
          <w:caps/>
          <w:color w:val="000000" w:themeColor="text1"/>
          <w:sz w:val="20"/>
          <w:szCs w:val="20"/>
          <w:lang w:val="en-US"/>
        </w:rPr>
      </w:pPr>
    </w:p>
    <w:p w14:paraId="022D7F2F" w14:textId="77777777" w:rsidR="00FB73C2" w:rsidRPr="00A006BB" w:rsidRDefault="00FB73C2" w:rsidP="00FB73C2">
      <w:pPr>
        <w:jc w:val="center"/>
        <w:rPr>
          <w:lang w:val="en-US"/>
        </w:rPr>
      </w:pPr>
    </w:p>
    <w:tbl>
      <w:tblPr>
        <w:tblStyle w:val="Sombreadoclaro"/>
        <w:tblpPr w:leftFromText="180" w:rightFromText="180" w:vertAnchor="text" w:horzAnchor="margin" w:tblpY="-51"/>
        <w:tblW w:w="5017" w:type="pct"/>
        <w:tblLook w:val="0660" w:firstRow="1" w:lastRow="1" w:firstColumn="0" w:lastColumn="0" w:noHBand="1" w:noVBand="1"/>
      </w:tblPr>
      <w:tblGrid>
        <w:gridCol w:w="1321"/>
        <w:gridCol w:w="7212"/>
      </w:tblGrid>
      <w:tr w:rsidR="00FB73C2" w:rsidRPr="00B46FA7" w14:paraId="22190FEB" w14:textId="77777777" w:rsidTr="00712C68">
        <w:trPr>
          <w:cnfStyle w:val="100000000000" w:firstRow="1" w:lastRow="0" w:firstColumn="0" w:lastColumn="0" w:oddVBand="0" w:evenVBand="0" w:oddHBand="0" w:evenHBand="0" w:firstRowFirstColumn="0" w:firstRowLastColumn="0" w:lastRowFirstColumn="0" w:lastRowLastColumn="0"/>
          <w:trHeight w:val="249"/>
        </w:trPr>
        <w:tc>
          <w:tcPr>
            <w:tcW w:w="774" w:type="pct"/>
            <w:noWrap/>
          </w:tcPr>
          <w:p w14:paraId="2674E61F" w14:textId="77777777" w:rsidR="00FB73C2" w:rsidRPr="00B46FA7" w:rsidRDefault="00FB73C2" w:rsidP="00712C68">
            <w:pPr>
              <w:jc w:val="both"/>
              <w:rPr>
                <w:sz w:val="20"/>
                <w:szCs w:val="20"/>
              </w:rPr>
            </w:pPr>
            <w:r w:rsidRPr="00B46FA7">
              <w:rPr>
                <w:sz w:val="20"/>
                <w:szCs w:val="20"/>
              </w:rPr>
              <w:t xml:space="preserve">Category </w:t>
            </w:r>
          </w:p>
        </w:tc>
        <w:tc>
          <w:tcPr>
            <w:tcW w:w="4226" w:type="pct"/>
          </w:tcPr>
          <w:p w14:paraId="6DAD0801" w14:textId="77777777" w:rsidR="00FB73C2" w:rsidRPr="00B46FA7" w:rsidRDefault="00FB73C2" w:rsidP="00712C68">
            <w:pPr>
              <w:jc w:val="both"/>
              <w:rPr>
                <w:sz w:val="20"/>
                <w:szCs w:val="20"/>
              </w:rPr>
            </w:pPr>
            <w:r w:rsidRPr="00B46FA7">
              <w:rPr>
                <w:sz w:val="20"/>
                <w:szCs w:val="20"/>
              </w:rPr>
              <w:t xml:space="preserve">Brands </w:t>
            </w:r>
          </w:p>
        </w:tc>
      </w:tr>
      <w:tr w:rsidR="00FB73C2" w:rsidRPr="00A006BB" w14:paraId="0B32D9FA" w14:textId="77777777" w:rsidTr="00712C68">
        <w:trPr>
          <w:trHeight w:val="249"/>
        </w:trPr>
        <w:tc>
          <w:tcPr>
            <w:tcW w:w="774" w:type="pct"/>
            <w:noWrap/>
          </w:tcPr>
          <w:p w14:paraId="36846018" w14:textId="77777777" w:rsidR="00FB73C2" w:rsidRPr="00A006BB" w:rsidRDefault="00FB73C2" w:rsidP="00712C68">
            <w:pPr>
              <w:snapToGrid w:val="0"/>
              <w:jc w:val="both"/>
            </w:pPr>
          </w:p>
        </w:tc>
        <w:tc>
          <w:tcPr>
            <w:tcW w:w="4226" w:type="pct"/>
          </w:tcPr>
          <w:p w14:paraId="0F675BA1" w14:textId="77777777" w:rsidR="00FB73C2" w:rsidRPr="00A006BB" w:rsidRDefault="00FB73C2" w:rsidP="00712C68">
            <w:pPr>
              <w:snapToGrid w:val="0"/>
              <w:jc w:val="both"/>
            </w:pPr>
          </w:p>
        </w:tc>
      </w:tr>
      <w:tr w:rsidR="00FB73C2" w:rsidRPr="006369CE" w14:paraId="694C0A17" w14:textId="77777777" w:rsidTr="00712C68">
        <w:trPr>
          <w:trHeight w:val="427"/>
        </w:trPr>
        <w:tc>
          <w:tcPr>
            <w:tcW w:w="774" w:type="pct"/>
            <w:noWrap/>
          </w:tcPr>
          <w:p w14:paraId="38E0FEEC" w14:textId="77777777" w:rsidR="00FB73C2" w:rsidRPr="0090204E" w:rsidRDefault="00FB73C2" w:rsidP="00712C68">
            <w:pPr>
              <w:snapToGrid w:val="0"/>
              <w:jc w:val="both"/>
              <w:rPr>
                <w:sz w:val="20"/>
                <w:szCs w:val="20"/>
              </w:rPr>
            </w:pPr>
            <w:r w:rsidRPr="0090204E">
              <w:rPr>
                <w:sz w:val="20"/>
                <w:szCs w:val="20"/>
              </w:rPr>
              <w:t xml:space="preserve">Cologne  </w:t>
            </w:r>
          </w:p>
        </w:tc>
        <w:tc>
          <w:tcPr>
            <w:tcW w:w="4226" w:type="pct"/>
          </w:tcPr>
          <w:p w14:paraId="2AA078EE" w14:textId="77777777" w:rsidR="00FB73C2" w:rsidRPr="00B87540" w:rsidRDefault="00FB73C2" w:rsidP="00712C68">
            <w:pPr>
              <w:pStyle w:val="DecimalAligned"/>
              <w:snapToGrid w:val="0"/>
              <w:spacing w:after="0"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Lancôme, Dior, YSL, Loewe, Leaders, Channel</w:t>
            </w:r>
          </w:p>
        </w:tc>
      </w:tr>
      <w:tr w:rsidR="00FB73C2" w:rsidRPr="00A006BB" w14:paraId="28CCCFD5" w14:textId="77777777" w:rsidTr="00712C68">
        <w:trPr>
          <w:trHeight w:val="432"/>
        </w:trPr>
        <w:tc>
          <w:tcPr>
            <w:tcW w:w="774" w:type="pct"/>
            <w:noWrap/>
          </w:tcPr>
          <w:p w14:paraId="252C0713" w14:textId="77777777" w:rsidR="00FB73C2" w:rsidRPr="0090204E" w:rsidRDefault="00FB73C2" w:rsidP="00712C68">
            <w:pPr>
              <w:snapToGrid w:val="0"/>
              <w:jc w:val="both"/>
              <w:rPr>
                <w:sz w:val="20"/>
                <w:szCs w:val="20"/>
              </w:rPr>
            </w:pPr>
            <w:r w:rsidRPr="0090204E">
              <w:rPr>
                <w:sz w:val="20"/>
                <w:szCs w:val="20"/>
              </w:rPr>
              <w:t xml:space="preserve">Jewellery </w:t>
            </w:r>
          </w:p>
        </w:tc>
        <w:tc>
          <w:tcPr>
            <w:tcW w:w="4226" w:type="pct"/>
          </w:tcPr>
          <w:p w14:paraId="25181AE7" w14:textId="77777777" w:rsidR="00FB73C2" w:rsidRPr="00B87540" w:rsidRDefault="00FB73C2" w:rsidP="00712C68">
            <w:pPr>
              <w:pStyle w:val="DecimalAligned"/>
              <w:snapToGrid w:val="0"/>
              <w:spacing w:after="0"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Swarovski, Pandora, Links London</w:t>
            </w:r>
          </w:p>
        </w:tc>
      </w:tr>
      <w:tr w:rsidR="00FB73C2" w:rsidRPr="006369CE" w14:paraId="068EF63C" w14:textId="77777777" w:rsidTr="00712C68">
        <w:trPr>
          <w:trHeight w:val="424"/>
        </w:trPr>
        <w:tc>
          <w:tcPr>
            <w:tcW w:w="774" w:type="pct"/>
            <w:noWrap/>
          </w:tcPr>
          <w:p w14:paraId="544DF5E5" w14:textId="77777777" w:rsidR="00FB73C2" w:rsidRPr="0090204E" w:rsidRDefault="00FB73C2" w:rsidP="00712C68">
            <w:pPr>
              <w:snapToGrid w:val="0"/>
              <w:jc w:val="both"/>
              <w:rPr>
                <w:sz w:val="20"/>
                <w:szCs w:val="20"/>
              </w:rPr>
            </w:pPr>
            <w:r w:rsidRPr="0090204E">
              <w:rPr>
                <w:sz w:val="20"/>
                <w:szCs w:val="20"/>
              </w:rPr>
              <w:t>Fast food</w:t>
            </w:r>
          </w:p>
        </w:tc>
        <w:tc>
          <w:tcPr>
            <w:tcW w:w="4226" w:type="pct"/>
          </w:tcPr>
          <w:p w14:paraId="4DDF3206" w14:textId="77777777" w:rsidR="00FB73C2" w:rsidRPr="00B87540" w:rsidRDefault="00FB73C2" w:rsidP="00712C68">
            <w:pPr>
              <w:pStyle w:val="DecimalAligned"/>
              <w:snapToGrid w:val="0"/>
              <w:spacing w:after="0" w:line="240" w:lineRule="auto"/>
              <w:jc w:val="both"/>
              <w:rPr>
                <w:rFonts w:ascii="Times New Roman" w:hAnsi="Times New Roman" w:cs="Times New Roman"/>
                <w:i/>
                <w:iCs/>
                <w:sz w:val="20"/>
                <w:szCs w:val="20"/>
              </w:rPr>
            </w:pPr>
            <w:r w:rsidRPr="00B87540">
              <w:rPr>
                <w:rFonts w:ascii="Times New Roman" w:hAnsi="Times New Roman" w:cs="Times New Roman"/>
                <w:i/>
                <w:iCs/>
                <w:sz w:val="20"/>
                <w:szCs w:val="20"/>
              </w:rPr>
              <w:t xml:space="preserve">Burger King, McDonalds, Dunkin Donuts, KFC, Subway, </w:t>
            </w:r>
            <w:proofErr w:type="spellStart"/>
            <w:r w:rsidRPr="00B87540">
              <w:rPr>
                <w:rFonts w:ascii="Times New Roman" w:hAnsi="Times New Roman" w:cs="Times New Roman"/>
                <w:i/>
                <w:iCs/>
                <w:sz w:val="20"/>
                <w:szCs w:val="20"/>
              </w:rPr>
              <w:t>PizzaHut</w:t>
            </w:r>
            <w:proofErr w:type="spellEnd"/>
            <w:r w:rsidRPr="00B87540">
              <w:rPr>
                <w:rFonts w:ascii="Times New Roman" w:hAnsi="Times New Roman" w:cs="Times New Roman"/>
                <w:i/>
                <w:iCs/>
                <w:sz w:val="20"/>
                <w:szCs w:val="20"/>
              </w:rPr>
              <w:t>, Starbucks, Domino's Pizza</w:t>
            </w:r>
          </w:p>
        </w:tc>
      </w:tr>
      <w:tr w:rsidR="00FB73C2" w:rsidRPr="006369CE" w14:paraId="5581C6BF" w14:textId="77777777" w:rsidTr="00712C68">
        <w:trPr>
          <w:trHeight w:val="424"/>
        </w:trPr>
        <w:tc>
          <w:tcPr>
            <w:tcW w:w="774" w:type="pct"/>
            <w:noWrap/>
          </w:tcPr>
          <w:p w14:paraId="35891E69" w14:textId="77777777" w:rsidR="00FB73C2" w:rsidRPr="0090204E" w:rsidRDefault="00FB73C2" w:rsidP="00712C68">
            <w:pPr>
              <w:tabs>
                <w:tab w:val="left" w:pos="1725"/>
              </w:tabs>
              <w:snapToGrid w:val="0"/>
              <w:jc w:val="both"/>
              <w:rPr>
                <w:sz w:val="20"/>
                <w:szCs w:val="20"/>
              </w:rPr>
            </w:pPr>
            <w:r w:rsidRPr="0090204E">
              <w:rPr>
                <w:sz w:val="20"/>
                <w:szCs w:val="20"/>
              </w:rPr>
              <w:t xml:space="preserve">Drinks </w:t>
            </w:r>
          </w:p>
        </w:tc>
        <w:tc>
          <w:tcPr>
            <w:tcW w:w="4226" w:type="pct"/>
          </w:tcPr>
          <w:p w14:paraId="686067FA" w14:textId="77777777" w:rsidR="00FB73C2" w:rsidRPr="00B87540" w:rsidRDefault="00FB73C2" w:rsidP="00712C68">
            <w:pPr>
              <w:pStyle w:val="DecimalAligned"/>
              <w:snapToGrid w:val="0"/>
              <w:spacing w:after="0" w:line="240" w:lineRule="auto"/>
              <w:jc w:val="both"/>
              <w:rPr>
                <w:rFonts w:ascii="Times New Roman" w:hAnsi="Times New Roman" w:cs="Times New Roman"/>
                <w:i/>
                <w:iCs/>
                <w:sz w:val="20"/>
                <w:szCs w:val="20"/>
              </w:rPr>
            </w:pPr>
            <w:proofErr w:type="spellStart"/>
            <w:r w:rsidRPr="00B87540">
              <w:rPr>
                <w:rFonts w:ascii="Times New Roman" w:hAnsi="Times New Roman" w:cs="Times New Roman"/>
                <w:i/>
                <w:iCs/>
                <w:sz w:val="20"/>
                <w:szCs w:val="20"/>
              </w:rPr>
              <w:t>Guiness</w:t>
            </w:r>
            <w:proofErr w:type="spellEnd"/>
            <w:r w:rsidRPr="00B87540">
              <w:rPr>
                <w:rFonts w:ascii="Times New Roman" w:hAnsi="Times New Roman" w:cs="Times New Roman"/>
                <w:i/>
                <w:iCs/>
                <w:sz w:val="20"/>
                <w:szCs w:val="20"/>
              </w:rPr>
              <w:t xml:space="preserve">, Carlsberg, Heineken, </w:t>
            </w:r>
            <w:proofErr w:type="spellStart"/>
            <w:r w:rsidRPr="00B87540">
              <w:rPr>
                <w:rFonts w:ascii="Times New Roman" w:hAnsi="Times New Roman" w:cs="Times New Roman"/>
                <w:i/>
                <w:iCs/>
                <w:sz w:val="20"/>
                <w:szCs w:val="20"/>
              </w:rPr>
              <w:t>CocaCola</w:t>
            </w:r>
            <w:proofErr w:type="spellEnd"/>
            <w:r w:rsidRPr="00B87540">
              <w:rPr>
                <w:rFonts w:ascii="Times New Roman" w:hAnsi="Times New Roman" w:cs="Times New Roman"/>
                <w:i/>
                <w:iCs/>
                <w:sz w:val="20"/>
                <w:szCs w:val="20"/>
              </w:rPr>
              <w:t xml:space="preserve">, Lipton, </w:t>
            </w:r>
            <w:proofErr w:type="spellStart"/>
            <w:r w:rsidRPr="00B87540">
              <w:rPr>
                <w:rFonts w:ascii="Times New Roman" w:hAnsi="Times New Roman" w:cs="Times New Roman"/>
                <w:i/>
                <w:iCs/>
                <w:sz w:val="20"/>
                <w:szCs w:val="20"/>
              </w:rPr>
              <w:t>RedBull</w:t>
            </w:r>
            <w:proofErr w:type="spellEnd"/>
            <w:r w:rsidRPr="00B87540">
              <w:rPr>
                <w:rFonts w:ascii="Times New Roman" w:hAnsi="Times New Roman" w:cs="Times New Roman"/>
                <w:i/>
                <w:iCs/>
                <w:sz w:val="20"/>
                <w:szCs w:val="20"/>
              </w:rPr>
              <w:t>, Pepsi</w:t>
            </w:r>
          </w:p>
        </w:tc>
      </w:tr>
      <w:tr w:rsidR="00FB73C2" w:rsidRPr="006369CE" w14:paraId="5CBB4BFC" w14:textId="77777777" w:rsidTr="00712C68">
        <w:trPr>
          <w:cnfStyle w:val="010000000000" w:firstRow="0" w:lastRow="1" w:firstColumn="0" w:lastColumn="0" w:oddVBand="0" w:evenVBand="0" w:oddHBand="0" w:evenHBand="0" w:firstRowFirstColumn="0" w:firstRowLastColumn="0" w:lastRowFirstColumn="0" w:lastRowLastColumn="0"/>
          <w:trHeight w:val="264"/>
        </w:trPr>
        <w:tc>
          <w:tcPr>
            <w:tcW w:w="774" w:type="pct"/>
            <w:noWrap/>
          </w:tcPr>
          <w:p w14:paraId="6EB280EC" w14:textId="77777777" w:rsidR="00FB73C2" w:rsidRPr="00A006BB" w:rsidRDefault="00FB73C2" w:rsidP="00712C68">
            <w:pPr>
              <w:jc w:val="both"/>
            </w:pPr>
          </w:p>
        </w:tc>
        <w:tc>
          <w:tcPr>
            <w:tcW w:w="4226" w:type="pct"/>
          </w:tcPr>
          <w:p w14:paraId="5108E162" w14:textId="77777777" w:rsidR="00FB73C2" w:rsidRPr="00A006BB" w:rsidRDefault="00FB73C2" w:rsidP="00712C68">
            <w:pPr>
              <w:pStyle w:val="DecimalAligned"/>
              <w:spacing w:line="240" w:lineRule="auto"/>
              <w:jc w:val="both"/>
            </w:pPr>
          </w:p>
        </w:tc>
      </w:tr>
    </w:tbl>
    <w:p w14:paraId="185EE528" w14:textId="77777777" w:rsidR="00FB73C2" w:rsidRDefault="00FB73C2" w:rsidP="00FB73C2">
      <w:pPr>
        <w:jc w:val="center"/>
        <w:rPr>
          <w:iCs/>
          <w:caps/>
          <w:color w:val="000000" w:themeColor="text1"/>
          <w:sz w:val="20"/>
          <w:szCs w:val="20"/>
          <w:lang w:val="en-US"/>
        </w:rPr>
      </w:pPr>
    </w:p>
    <w:p w14:paraId="0B89E482" w14:textId="77777777" w:rsidR="00FB73C2" w:rsidRDefault="00FB73C2" w:rsidP="00FB73C2">
      <w:pPr>
        <w:jc w:val="center"/>
        <w:rPr>
          <w:iCs/>
          <w:caps/>
          <w:color w:val="000000" w:themeColor="text1"/>
          <w:sz w:val="20"/>
          <w:szCs w:val="20"/>
          <w:lang w:val="en-US"/>
        </w:rPr>
      </w:pPr>
      <w:r w:rsidRPr="00391076">
        <w:rPr>
          <w:iCs/>
          <w:caps/>
          <w:color w:val="000000" w:themeColor="text1"/>
          <w:sz w:val="20"/>
          <w:szCs w:val="20"/>
          <w:lang w:val="en-US"/>
        </w:rPr>
        <w:t>Table 4. Tangible products: Categories and brands</w:t>
      </w:r>
    </w:p>
    <w:p w14:paraId="441012D0" w14:textId="77777777" w:rsidR="00FB73C2" w:rsidRPr="00391076" w:rsidRDefault="00FB73C2" w:rsidP="00FB73C2">
      <w:pPr>
        <w:jc w:val="center"/>
        <w:rPr>
          <w:iCs/>
          <w:caps/>
          <w:color w:val="000000" w:themeColor="text1"/>
          <w:sz w:val="20"/>
          <w:szCs w:val="20"/>
          <w:lang w:val="en-US"/>
        </w:rPr>
      </w:pPr>
    </w:p>
    <w:p w14:paraId="37AE8942" w14:textId="77777777" w:rsidR="00FB73C2" w:rsidRPr="00391076" w:rsidRDefault="00FB73C2" w:rsidP="00FB73C2">
      <w:pPr>
        <w:jc w:val="center"/>
        <w:rPr>
          <w:iCs/>
          <w:caps/>
          <w:color w:val="000000" w:themeColor="text1"/>
          <w:sz w:val="20"/>
          <w:szCs w:val="20"/>
          <w:lang w:val="en-US"/>
        </w:rPr>
      </w:pPr>
    </w:p>
    <w:p w14:paraId="3DD47EB2" w14:textId="77777777" w:rsidR="00FB73C2" w:rsidRPr="00391076" w:rsidRDefault="00FB73C2" w:rsidP="00FB73C2">
      <w:pPr>
        <w:ind w:firstLine="567"/>
        <w:jc w:val="both"/>
        <w:rPr>
          <w:lang w:val="en-US"/>
        </w:rPr>
      </w:pPr>
      <w:r w:rsidRPr="00391076">
        <w:rPr>
          <w:lang w:val="en-US"/>
        </w:rPr>
        <w:t xml:space="preserve">All the examples included in the corpus of analysis have been obtained from simple searches carried out on the </w:t>
      </w:r>
      <w:r w:rsidRPr="00391076">
        <w:rPr>
          <w:i/>
          <w:lang w:val="en-US"/>
        </w:rPr>
        <w:t xml:space="preserve">Google Images </w:t>
      </w:r>
      <w:r w:rsidRPr="00391076">
        <w:rPr>
          <w:iCs/>
          <w:lang w:val="en-US"/>
        </w:rPr>
        <w:t>web</w:t>
      </w:r>
      <w:r w:rsidRPr="00391076">
        <w:rPr>
          <w:lang w:val="en-US"/>
        </w:rPr>
        <w:t xml:space="preserve">site. To guarantee the objectiveness of the corpus, the first 150 advertisements for each category (i.e., tangible vs. intangible products/services) have been selected. Not all the instances have been included in the </w:t>
      </w:r>
      <w:r w:rsidRPr="00391076">
        <w:rPr>
          <w:lang w:val="en-US"/>
        </w:rPr>
        <w:lastRenderedPageBreak/>
        <w:t>corpus. Advertisements have been selected following criteria of representativeness, variety, and clarity of interpretation. The final selection based on these criteria has yielded a final corpus of 300 printed ads.</w:t>
      </w:r>
    </w:p>
    <w:p w14:paraId="1C0D44B7" w14:textId="77777777" w:rsidR="00FB73C2" w:rsidRPr="00391076" w:rsidRDefault="00FB73C2" w:rsidP="00FB73C2">
      <w:pPr>
        <w:ind w:firstLine="567"/>
        <w:jc w:val="both"/>
        <w:rPr>
          <w:lang w:val="en-US"/>
        </w:rPr>
      </w:pPr>
    </w:p>
    <w:p w14:paraId="4411CFFC" w14:textId="77777777" w:rsidR="00FB73C2" w:rsidRDefault="00FB73C2" w:rsidP="00FB73C2">
      <w:pPr>
        <w:pStyle w:val="Ttulo2"/>
        <w:numPr>
          <w:ilvl w:val="1"/>
          <w:numId w:val="1"/>
        </w:numPr>
        <w:spacing w:before="0"/>
        <w:jc w:val="both"/>
        <w:rPr>
          <w:rFonts w:ascii="Times New Roman" w:hAnsi="Times New Roman" w:cs="Times New Roman"/>
          <w:color w:val="auto"/>
          <w:sz w:val="24"/>
          <w:szCs w:val="24"/>
        </w:rPr>
      </w:pPr>
      <w:r w:rsidRPr="00FB73C2">
        <w:rPr>
          <w:rFonts w:ascii="Times New Roman" w:hAnsi="Times New Roman" w:cs="Times New Roman"/>
          <w:color w:val="auto"/>
          <w:sz w:val="24"/>
          <w:szCs w:val="24"/>
          <w:lang w:val="en-US"/>
        </w:rPr>
        <w:t xml:space="preserve"> </w:t>
      </w:r>
      <w:bookmarkStart w:id="2" w:name="_Toc43574497"/>
      <w:proofErr w:type="spellStart"/>
      <w:r w:rsidRPr="00A006BB">
        <w:rPr>
          <w:rFonts w:ascii="Times New Roman" w:hAnsi="Times New Roman" w:cs="Times New Roman"/>
          <w:color w:val="auto"/>
          <w:sz w:val="24"/>
          <w:szCs w:val="24"/>
        </w:rPr>
        <w:t>Metaphor</w:t>
      </w:r>
      <w:proofErr w:type="spellEnd"/>
      <w:r w:rsidRPr="00A006BB">
        <w:rPr>
          <w:rFonts w:ascii="Times New Roman" w:hAnsi="Times New Roman" w:cs="Times New Roman"/>
          <w:color w:val="auto"/>
          <w:sz w:val="24"/>
          <w:szCs w:val="24"/>
        </w:rPr>
        <w:t xml:space="preserve"> </w:t>
      </w:r>
      <w:proofErr w:type="spellStart"/>
      <w:r w:rsidRPr="00A006BB">
        <w:rPr>
          <w:rFonts w:ascii="Times New Roman" w:hAnsi="Times New Roman" w:cs="Times New Roman"/>
          <w:color w:val="auto"/>
          <w:sz w:val="24"/>
          <w:szCs w:val="24"/>
        </w:rPr>
        <w:t>Identification</w:t>
      </w:r>
      <w:bookmarkEnd w:id="2"/>
      <w:proofErr w:type="spellEnd"/>
      <w:r w:rsidRPr="00A006BB">
        <w:rPr>
          <w:rFonts w:ascii="Times New Roman" w:hAnsi="Times New Roman" w:cs="Times New Roman"/>
          <w:color w:val="auto"/>
          <w:sz w:val="24"/>
          <w:szCs w:val="24"/>
        </w:rPr>
        <w:t xml:space="preserve"> </w:t>
      </w:r>
    </w:p>
    <w:p w14:paraId="7A64D687" w14:textId="77777777" w:rsidR="00FB73C2" w:rsidRPr="007A48C9" w:rsidRDefault="00FB73C2" w:rsidP="00FB73C2"/>
    <w:p w14:paraId="0986ED09" w14:textId="77777777" w:rsidR="00FB73C2" w:rsidRPr="00391076" w:rsidRDefault="00FB73C2" w:rsidP="00FB73C2">
      <w:pPr>
        <w:jc w:val="both"/>
        <w:rPr>
          <w:lang w:val="en-US"/>
        </w:rPr>
      </w:pPr>
      <w:r w:rsidRPr="00391076">
        <w:rPr>
          <w:lang w:val="en-US"/>
        </w:rPr>
        <w:t>As pointed out by Pérez-Hernández (2019: 9), primary metaphors “[…]</w:t>
      </w:r>
      <w:r>
        <w:rPr>
          <w:lang w:val="en-US"/>
        </w:rPr>
        <w:t xml:space="preserve"> </w:t>
      </w:r>
      <w:r w:rsidRPr="00391076">
        <w:rPr>
          <w:lang w:val="en-US"/>
        </w:rPr>
        <w:t>cannot yet be retrieved by means of automatized corpus searche</w:t>
      </w:r>
      <w:r>
        <w:rPr>
          <w:lang w:val="en-US"/>
        </w:rPr>
        <w:t>s</w:t>
      </w:r>
      <w:r w:rsidRPr="00391076">
        <w:rPr>
          <w:lang w:val="en-US"/>
        </w:rPr>
        <w:t>, therefore, their identification still needs to be manually carried out by the analyst</w:t>
      </w:r>
      <w:r>
        <w:rPr>
          <w:lang w:val="en-US"/>
        </w:rPr>
        <w:t xml:space="preserve"> </w:t>
      </w:r>
      <w:r w:rsidRPr="00391076">
        <w:rPr>
          <w:lang w:val="en-US"/>
        </w:rPr>
        <w:t>[…]”. Albeit this method involves certain risks – i.e., human errors or subjectivity-, it is the only method at hand for visual primary metaphors identification.</w:t>
      </w:r>
    </w:p>
    <w:p w14:paraId="18402CA4" w14:textId="77777777" w:rsidR="00FB73C2" w:rsidRPr="00391076" w:rsidRDefault="00FB73C2" w:rsidP="00FB73C2">
      <w:pPr>
        <w:ind w:firstLine="567"/>
        <w:jc w:val="both"/>
        <w:rPr>
          <w:lang w:val="en-US"/>
        </w:rPr>
      </w:pPr>
      <w:proofErr w:type="gramStart"/>
      <w:r w:rsidRPr="00391076">
        <w:rPr>
          <w:lang w:val="en-US"/>
        </w:rPr>
        <w:t>In order to</w:t>
      </w:r>
      <w:proofErr w:type="gramEnd"/>
      <w:r w:rsidRPr="00391076">
        <w:rPr>
          <w:lang w:val="en-US"/>
        </w:rPr>
        <w:t xml:space="preserve"> minimize as much as possible any analyst bias, the following steps have been followed to identify the metaphors in the corpus of printed advertisements.</w:t>
      </w:r>
    </w:p>
    <w:p w14:paraId="70FD5628" w14:textId="77777777" w:rsidR="00FB73C2" w:rsidRDefault="00FB73C2" w:rsidP="00FB73C2">
      <w:pPr>
        <w:ind w:firstLine="567"/>
        <w:jc w:val="both"/>
        <w:rPr>
          <w:lang w:val="en-US"/>
        </w:rPr>
      </w:pPr>
      <w:r w:rsidRPr="00391076">
        <w:rPr>
          <w:lang w:val="en-US"/>
        </w:rPr>
        <w:t xml:space="preserve">We have started by making a list of possible tangible products and intangible services </w:t>
      </w:r>
      <w:proofErr w:type="gramStart"/>
      <w:r w:rsidRPr="00391076">
        <w:rPr>
          <w:lang w:val="en-US"/>
        </w:rPr>
        <w:t>in order to</w:t>
      </w:r>
      <w:proofErr w:type="gramEnd"/>
      <w:r w:rsidRPr="00391076">
        <w:rPr>
          <w:lang w:val="en-US"/>
        </w:rPr>
        <w:t xml:space="preserve"> begin the searching process. </w:t>
      </w:r>
      <w:r>
        <w:rPr>
          <w:lang w:val="en-US"/>
        </w:rPr>
        <w:t>Next,</w:t>
      </w:r>
      <w:r w:rsidRPr="00391076">
        <w:rPr>
          <w:lang w:val="en-US"/>
        </w:rPr>
        <w:t xml:space="preserve"> we have </w:t>
      </w:r>
      <w:r>
        <w:rPr>
          <w:lang w:val="en-US"/>
        </w:rPr>
        <w:t>identified</w:t>
      </w:r>
      <w:r w:rsidRPr="00391076">
        <w:rPr>
          <w:lang w:val="en-US"/>
        </w:rPr>
        <w:t xml:space="preserve"> the product/services being advertised. We have then proceeded to analyze the product down to the last detail, including background and foreground elements, with the aim of detecting possible source domains of primary metaphors which are visually</w:t>
      </w:r>
      <w:r>
        <w:rPr>
          <w:lang w:val="en-US"/>
        </w:rPr>
        <w:t xml:space="preserve"> connected</w:t>
      </w:r>
      <w:r w:rsidRPr="00391076">
        <w:rPr>
          <w:lang w:val="en-US"/>
        </w:rPr>
        <w:t xml:space="preserve"> </w:t>
      </w:r>
      <w:r>
        <w:rPr>
          <w:lang w:val="en-US"/>
        </w:rPr>
        <w:t>to</w:t>
      </w:r>
      <w:r w:rsidRPr="00391076">
        <w:rPr>
          <w:lang w:val="en-US"/>
        </w:rPr>
        <w:t xml:space="preserve"> the product/service. The last step of the process involves comparing the results with Grady's (1997) list of primary metaphors for potential matches. If some details were included in the advertisements regarding brightness, for example, we turned to Grady´s (1997) list to look for those primary metaphors that had this notion as the source domain (e.g., GOOD IS BRIGHT). </w:t>
      </w:r>
    </w:p>
    <w:p w14:paraId="3B133734" w14:textId="77777777" w:rsidR="006369CE" w:rsidRDefault="006369CE" w:rsidP="00FB73C2">
      <w:pPr>
        <w:ind w:firstLine="567"/>
        <w:jc w:val="both"/>
        <w:rPr>
          <w:lang w:val="en-US"/>
        </w:rPr>
      </w:pPr>
    </w:p>
    <w:p w14:paraId="08163ECF" w14:textId="147977EC" w:rsidR="00E37102" w:rsidRDefault="00B66224" w:rsidP="00FB73C2">
      <w:pPr>
        <w:ind w:firstLine="567"/>
        <w:jc w:val="both"/>
        <w:rPr>
          <w:lang w:val="en-US"/>
        </w:rPr>
      </w:pPr>
      <w:r>
        <w:rPr>
          <w:lang w:val="en-US"/>
        </w:rPr>
        <w:t xml:space="preserve">Each advertisement was annotated in relation to the following primary metaphors: </w:t>
      </w:r>
    </w:p>
    <w:p w14:paraId="2F34B7BC" w14:textId="77777777" w:rsidR="00B66224" w:rsidRDefault="00B66224" w:rsidP="00FB73C2">
      <w:pPr>
        <w:ind w:firstLine="567"/>
        <w:jc w:val="both"/>
        <w:rPr>
          <w:lang w:val="en-US"/>
        </w:rPr>
      </w:pPr>
    </w:p>
    <w:tbl>
      <w:tblPr>
        <w:tblW w:w="22812" w:type="dxa"/>
        <w:tblInd w:w="-30" w:type="dxa"/>
        <w:tblLayout w:type="fixed"/>
        <w:tblCellMar>
          <w:left w:w="30" w:type="dxa"/>
          <w:right w:w="30" w:type="dxa"/>
        </w:tblCellMar>
        <w:tblLook w:val="0000" w:firstRow="0" w:lastRow="0" w:firstColumn="0" w:lastColumn="0" w:noHBand="0" w:noVBand="0"/>
      </w:tblPr>
      <w:tblGrid>
        <w:gridCol w:w="22812"/>
      </w:tblGrid>
      <w:tr w:rsidR="00E37102" w14:paraId="0EC897A1" w14:textId="77777777" w:rsidTr="00840667">
        <w:tblPrEx>
          <w:tblCellMar>
            <w:top w:w="0" w:type="dxa"/>
            <w:bottom w:w="0" w:type="dxa"/>
          </w:tblCellMar>
        </w:tblPrEx>
        <w:trPr>
          <w:trHeight w:val="300"/>
        </w:trPr>
        <w:tc>
          <w:tcPr>
            <w:tcW w:w="22812" w:type="dxa"/>
            <w:tcBorders>
              <w:top w:val="nil"/>
              <w:left w:val="nil"/>
              <w:bottom w:val="nil"/>
              <w:right w:val="nil"/>
            </w:tcBorders>
          </w:tcPr>
          <w:p w14:paraId="5BFDA5DE" w14:textId="77777777"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THE NATURE OF AN  ENTITIY IS ITS SHAPE</w:t>
            </w:r>
          </w:p>
          <w:p w14:paraId="0B4B1F55" w14:textId="77777777"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s-ES_tradnl" w:eastAsia="en-US"/>
                <w14:ligatures w14:val="standardContextual"/>
              </w:rPr>
            </w:pPr>
            <w:r w:rsidRPr="00B66224">
              <w:rPr>
                <w:rFonts w:ascii="Aptos Narrow" w:eastAsiaTheme="minorHAnsi" w:hAnsi="Aptos Narrow" w:cs="Aptos Narrow"/>
                <w:color w:val="000000"/>
                <w:lang w:val="es-ES_tradnl" w:eastAsia="en-US"/>
                <w14:ligatures w14:val="standardContextual"/>
              </w:rPr>
              <w:t>QUANTITY IS VERTICAL ELEVATION</w:t>
            </w:r>
          </w:p>
          <w:p w14:paraId="23004687" w14:textId="06D0975B"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IMPORTANT IS CENTRAL</w:t>
            </w:r>
          </w:p>
          <w:p w14:paraId="46BA16FB" w14:textId="2DDCB923"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IMP</w:t>
            </w:r>
            <w:r w:rsidRPr="00B66224">
              <w:rPr>
                <w:rFonts w:ascii="Aptos Narrow" w:eastAsiaTheme="minorHAnsi" w:hAnsi="Aptos Narrow" w:cs="Aptos Narrow"/>
                <w:color w:val="000000"/>
                <w:lang w:val="en-US" w:eastAsia="en-US"/>
                <w14:ligatures w14:val="standardContextual"/>
              </w:rPr>
              <w:t>ORTANT</w:t>
            </w:r>
            <w:r w:rsidRPr="00B66224">
              <w:rPr>
                <w:rFonts w:ascii="Aptos Narrow" w:eastAsiaTheme="minorHAnsi" w:hAnsi="Aptos Narrow" w:cs="Aptos Narrow"/>
                <w:color w:val="000000"/>
                <w:lang w:val="en-US" w:eastAsia="en-US"/>
                <w14:ligatures w14:val="standardContextual"/>
              </w:rPr>
              <w:t xml:space="preserve"> IS BEING FOCUSED</w:t>
            </w:r>
          </w:p>
          <w:p w14:paraId="5408CF0E" w14:textId="1E9B4BDD"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SIMILARITY IS ALIGNMENT</w:t>
            </w:r>
          </w:p>
          <w:p w14:paraId="6E7CCE6B" w14:textId="1FFAD475"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IMP</w:t>
            </w:r>
            <w:r w:rsidRPr="00B66224">
              <w:rPr>
                <w:rFonts w:ascii="Aptos Narrow" w:eastAsiaTheme="minorHAnsi" w:hAnsi="Aptos Narrow" w:cs="Aptos Narrow"/>
                <w:color w:val="000000"/>
                <w:lang w:val="en-US" w:eastAsia="en-US"/>
                <w14:ligatures w14:val="standardContextual"/>
              </w:rPr>
              <w:t>ORTANT</w:t>
            </w:r>
            <w:r w:rsidRPr="00B66224">
              <w:rPr>
                <w:rFonts w:ascii="Aptos Narrow" w:eastAsiaTheme="minorHAnsi" w:hAnsi="Aptos Narrow" w:cs="Aptos Narrow"/>
                <w:color w:val="000000"/>
                <w:lang w:val="en-US" w:eastAsia="en-US"/>
                <w14:ligatures w14:val="standardContextual"/>
              </w:rPr>
              <w:t xml:space="preserve"> IS SIZE</w:t>
            </w:r>
          </w:p>
          <w:p w14:paraId="207A5287" w14:textId="3F77B58E"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GOOD IS BRIGHT</w:t>
            </w:r>
          </w:p>
          <w:p w14:paraId="3DFBB5E9" w14:textId="77B972E9"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n-US" w:eastAsia="en-US"/>
                <w14:ligatures w14:val="standardContextual"/>
              </w:rPr>
            </w:pPr>
            <w:r w:rsidRPr="00B66224">
              <w:rPr>
                <w:rFonts w:ascii="Aptos Narrow" w:eastAsiaTheme="minorHAnsi" w:hAnsi="Aptos Narrow" w:cs="Aptos Narrow"/>
                <w:color w:val="000000"/>
                <w:lang w:val="en-US" w:eastAsia="en-US"/>
                <w14:ligatures w14:val="standardContextual"/>
              </w:rPr>
              <w:t>HAPPY IS UP/GOOD</w:t>
            </w:r>
          </w:p>
          <w:p w14:paraId="40296305" w14:textId="474E8770" w:rsidR="00E37102" w:rsidRPr="00B66224" w:rsidRDefault="00E37102" w:rsidP="00B66224">
            <w:pPr>
              <w:pStyle w:val="Prrafodelista"/>
              <w:numPr>
                <w:ilvl w:val="0"/>
                <w:numId w:val="2"/>
              </w:numPr>
              <w:autoSpaceDE w:val="0"/>
              <w:autoSpaceDN w:val="0"/>
              <w:adjustRightInd w:val="0"/>
              <w:rPr>
                <w:rFonts w:ascii="Aptos Narrow" w:eastAsiaTheme="minorHAnsi" w:hAnsi="Aptos Narrow" w:cs="Aptos Narrow"/>
                <w:color w:val="000000"/>
                <w:lang w:val="es-ES_tradnl" w:eastAsia="en-US"/>
                <w14:ligatures w14:val="standardContextual"/>
              </w:rPr>
            </w:pPr>
            <w:r w:rsidRPr="00B66224">
              <w:rPr>
                <w:rFonts w:ascii="Aptos Narrow" w:eastAsiaTheme="minorHAnsi" w:hAnsi="Aptos Narrow" w:cs="Aptos Narrow"/>
                <w:color w:val="000000"/>
                <w:lang w:val="es-ES_tradnl" w:eastAsia="en-US"/>
                <w14:ligatures w14:val="standardContextual"/>
              </w:rPr>
              <w:t>IMP</w:t>
            </w:r>
            <w:r w:rsidRPr="00B66224">
              <w:rPr>
                <w:rFonts w:ascii="Aptos Narrow" w:eastAsiaTheme="minorHAnsi" w:hAnsi="Aptos Narrow" w:cs="Aptos Narrow"/>
                <w:color w:val="000000"/>
                <w:lang w:val="es-ES_tradnl" w:eastAsia="en-US"/>
                <w14:ligatures w14:val="standardContextual"/>
              </w:rPr>
              <w:t>ORTANT</w:t>
            </w:r>
            <w:r w:rsidRPr="00B66224">
              <w:rPr>
                <w:rFonts w:ascii="Aptos Narrow" w:eastAsiaTheme="minorHAnsi" w:hAnsi="Aptos Narrow" w:cs="Aptos Narrow"/>
                <w:color w:val="000000"/>
                <w:lang w:val="es-ES_tradnl" w:eastAsia="en-US"/>
                <w14:ligatures w14:val="standardContextual"/>
              </w:rPr>
              <w:t xml:space="preserve"> IS BRIGHT</w:t>
            </w:r>
          </w:p>
        </w:tc>
      </w:tr>
    </w:tbl>
    <w:p w14:paraId="19396292" w14:textId="77777777" w:rsidR="006369CE" w:rsidRPr="00391076" w:rsidRDefault="006369CE" w:rsidP="00FB73C2">
      <w:pPr>
        <w:ind w:firstLine="567"/>
        <w:jc w:val="both"/>
        <w:rPr>
          <w:lang w:val="en-US"/>
        </w:rPr>
      </w:pPr>
    </w:p>
    <w:p w14:paraId="41DF40C8" w14:textId="77777777" w:rsidR="00FB73C2" w:rsidRDefault="00FB73C2" w:rsidP="00FB73C2">
      <w:pPr>
        <w:ind w:firstLine="567"/>
        <w:jc w:val="both"/>
        <w:rPr>
          <w:lang w:val="en-US"/>
        </w:rPr>
      </w:pPr>
    </w:p>
    <w:p w14:paraId="2AD4839E" w14:textId="77777777" w:rsidR="004D355E" w:rsidRPr="00FB73C2" w:rsidRDefault="004D355E">
      <w:pPr>
        <w:rPr>
          <w:lang w:val="en-US"/>
        </w:rPr>
      </w:pPr>
    </w:p>
    <w:sectPr w:rsidR="004D355E" w:rsidRPr="00FB7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53CD3"/>
    <w:multiLevelType w:val="hybridMultilevel"/>
    <w:tmpl w:val="457281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592261"/>
    <w:multiLevelType w:val="multilevel"/>
    <w:tmpl w:val="7FE011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877200109">
    <w:abstractNumId w:val="1"/>
  </w:num>
  <w:num w:numId="2" w16cid:durableId="66466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C2"/>
    <w:rsid w:val="00177803"/>
    <w:rsid w:val="004D355E"/>
    <w:rsid w:val="006369CE"/>
    <w:rsid w:val="00B66224"/>
    <w:rsid w:val="00E37102"/>
    <w:rsid w:val="00FB7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B253341"/>
  <w15:chartTrackingRefBased/>
  <w15:docId w15:val="{87A64EED-45F3-5E4E-8131-30C67F60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C2"/>
    <w:rPr>
      <w:rFonts w:ascii="Times New Roman" w:eastAsia="Times New Roman" w:hAnsi="Times New Roman" w:cs="Times New Roman"/>
      <w:kern w:val="0"/>
      <w:lang w:eastAsia="es-ES_tradnl"/>
      <w14:ligatures w14:val="none"/>
    </w:rPr>
  </w:style>
  <w:style w:type="paragraph" w:styleId="Ttulo1">
    <w:name w:val="heading 1"/>
    <w:basedOn w:val="Normal"/>
    <w:next w:val="Normal"/>
    <w:link w:val="Ttulo1Car"/>
    <w:uiPriority w:val="9"/>
    <w:qFormat/>
    <w:rsid w:val="00FB73C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unhideWhenUsed/>
    <w:qFormat/>
    <w:rsid w:val="00FB73C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B73C2"/>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FB73C2"/>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FB73C2"/>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FB73C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B73C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B73C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B73C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3C2"/>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rsid w:val="00FB73C2"/>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FB73C2"/>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FB73C2"/>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FB73C2"/>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FB73C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B73C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B73C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B73C2"/>
    <w:rPr>
      <w:rFonts w:eastAsiaTheme="majorEastAsia" w:cstheme="majorBidi"/>
      <w:color w:val="272727" w:themeColor="text1" w:themeTint="D8"/>
    </w:rPr>
  </w:style>
  <w:style w:type="paragraph" w:styleId="Ttulo">
    <w:name w:val="Title"/>
    <w:basedOn w:val="Normal"/>
    <w:next w:val="Normal"/>
    <w:link w:val="TtuloCar"/>
    <w:uiPriority w:val="10"/>
    <w:qFormat/>
    <w:rsid w:val="00FB73C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B73C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B73C2"/>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B73C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B73C2"/>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FB73C2"/>
    <w:rPr>
      <w:i/>
      <w:iCs/>
      <w:color w:val="404040" w:themeColor="text1" w:themeTint="BF"/>
    </w:rPr>
  </w:style>
  <w:style w:type="paragraph" w:styleId="Prrafodelista">
    <w:name w:val="List Paragraph"/>
    <w:basedOn w:val="Normal"/>
    <w:uiPriority w:val="34"/>
    <w:qFormat/>
    <w:rsid w:val="00FB73C2"/>
    <w:pPr>
      <w:ind w:left="720"/>
      <w:contextualSpacing/>
    </w:pPr>
  </w:style>
  <w:style w:type="character" w:styleId="nfasisintenso">
    <w:name w:val="Intense Emphasis"/>
    <w:basedOn w:val="Fuentedeprrafopredeter"/>
    <w:uiPriority w:val="21"/>
    <w:qFormat/>
    <w:rsid w:val="00FB73C2"/>
    <w:rPr>
      <w:i/>
      <w:iCs/>
      <w:color w:val="2F5496" w:themeColor="accent1" w:themeShade="BF"/>
    </w:rPr>
  </w:style>
  <w:style w:type="paragraph" w:styleId="Citadestacada">
    <w:name w:val="Intense Quote"/>
    <w:basedOn w:val="Normal"/>
    <w:next w:val="Normal"/>
    <w:link w:val="CitadestacadaCar"/>
    <w:uiPriority w:val="30"/>
    <w:qFormat/>
    <w:rsid w:val="00FB73C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FB73C2"/>
    <w:rPr>
      <w:i/>
      <w:iCs/>
      <w:color w:val="2F5496" w:themeColor="accent1" w:themeShade="BF"/>
    </w:rPr>
  </w:style>
  <w:style w:type="character" w:styleId="Referenciaintensa">
    <w:name w:val="Intense Reference"/>
    <w:basedOn w:val="Fuentedeprrafopredeter"/>
    <w:uiPriority w:val="32"/>
    <w:qFormat/>
    <w:rsid w:val="00FB73C2"/>
    <w:rPr>
      <w:b/>
      <w:bCs/>
      <w:smallCaps/>
      <w:color w:val="2F5496" w:themeColor="accent1" w:themeShade="BF"/>
      <w:spacing w:val="5"/>
    </w:rPr>
  </w:style>
  <w:style w:type="paragraph" w:customStyle="1" w:styleId="DecimalAligned">
    <w:name w:val="Decimal Aligned"/>
    <w:basedOn w:val="Normal"/>
    <w:uiPriority w:val="40"/>
    <w:qFormat/>
    <w:rsid w:val="00FB73C2"/>
    <w:pPr>
      <w:tabs>
        <w:tab w:val="decimal" w:pos="360"/>
      </w:tabs>
      <w:spacing w:after="200" w:line="276" w:lineRule="auto"/>
    </w:pPr>
    <w:rPr>
      <w:rFonts w:asciiTheme="minorHAnsi" w:eastAsiaTheme="minorHAnsi" w:hAnsiTheme="minorHAnsi" w:cstheme="minorBidi"/>
      <w:sz w:val="22"/>
      <w:szCs w:val="22"/>
      <w:lang w:val="en-GB" w:eastAsia="en-GB"/>
    </w:rPr>
  </w:style>
  <w:style w:type="table" w:styleId="Sombreadoclaro">
    <w:name w:val="Light Shading"/>
    <w:basedOn w:val="Tablanormal"/>
    <w:uiPriority w:val="60"/>
    <w:rsid w:val="00FB73C2"/>
    <w:rPr>
      <w:color w:val="000000" w:themeColor="text1" w:themeShade="BF"/>
      <w:kern w:val="0"/>
      <w:sz w:val="22"/>
      <w:szCs w:val="22"/>
      <w:lang w:val="en-GB"/>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3279</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4</cp:revision>
  <dcterms:created xsi:type="dcterms:W3CDTF">2024-04-09T20:38:00Z</dcterms:created>
  <dcterms:modified xsi:type="dcterms:W3CDTF">2024-04-09T20:41:00Z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ba6f1-aff4-4b79-8885-6d979e1ad1b9_Enabled">
    <vt:lpwstr>true</vt:lpwstr>
  </property>
  <property fmtid="{D5CDD505-2E9C-101B-9397-08002B2CF9AE}" pid="3" name="MSIP_Label_63fba6f1-aff4-4b79-8885-6d979e1ad1b9_SetDate">
    <vt:lpwstr>2024-04-09T20:39:01Z</vt:lpwstr>
  </property>
  <property fmtid="{D5CDD505-2E9C-101B-9397-08002B2CF9AE}" pid="4" name="MSIP_Label_63fba6f1-aff4-4b79-8885-6d979e1ad1b9_Method">
    <vt:lpwstr>Standard</vt:lpwstr>
  </property>
  <property fmtid="{D5CDD505-2E9C-101B-9397-08002B2CF9AE}" pid="5" name="MSIP_Label_63fba6f1-aff4-4b79-8885-6d979e1ad1b9_Name">
    <vt:lpwstr>defa4170-0d19-0005-0004-bc88714345d2</vt:lpwstr>
  </property>
  <property fmtid="{D5CDD505-2E9C-101B-9397-08002B2CF9AE}" pid="6" name="MSIP_Label_63fba6f1-aff4-4b79-8885-6d979e1ad1b9_SiteId">
    <vt:lpwstr>1c970947-1e9c-4245-bea0-b5ce2a77773b</vt:lpwstr>
  </property>
  <property fmtid="{D5CDD505-2E9C-101B-9397-08002B2CF9AE}" pid="7" name="MSIP_Label_63fba6f1-aff4-4b79-8885-6d979e1ad1b9_ActionId">
    <vt:lpwstr>8804c826-0eb0-4dd2-940c-177ce47d2f03</vt:lpwstr>
  </property>
  <property fmtid="{D5CDD505-2E9C-101B-9397-08002B2CF9AE}" pid="8" name="MSIP_Label_63fba6f1-aff4-4b79-8885-6d979e1ad1b9_ContentBits">
    <vt:lpwstr>0</vt:lpwstr>
  </property>
</Properties>
</file>